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91" w:rsidRPr="00E95291" w:rsidRDefault="00E95291" w:rsidP="00E95291">
      <w:pPr>
        <w:shd w:val="clear" w:color="auto" w:fill="FFFFFF"/>
        <w:spacing w:before="100" w:beforeAutospacing="1" w:after="100" w:afterAutospacing="1" w:line="240" w:lineRule="auto"/>
        <w:outlineLvl w:val="0"/>
        <w:rPr>
          <w:rFonts w:ascii="Montserrat" w:eastAsia="Times New Roman" w:hAnsi="Montserrat" w:cs="Times New Roman"/>
          <w:b/>
          <w:bCs/>
          <w:color w:val="591D3B"/>
          <w:kern w:val="36"/>
          <w:sz w:val="28"/>
          <w:szCs w:val="28"/>
        </w:rPr>
      </w:pPr>
      <w:r w:rsidRPr="00E95291">
        <w:rPr>
          <w:rFonts w:ascii="Montserrat" w:eastAsia="Times New Roman" w:hAnsi="Montserrat" w:cs="Times New Roman"/>
          <w:b/>
          <w:bCs/>
          <w:color w:val="591D3B"/>
          <w:kern w:val="36"/>
          <w:sz w:val="28"/>
          <w:szCs w:val="28"/>
        </w:rPr>
        <w:t>Mandatory Edible Food Recovery Requirements for Commercial Edible Food Generators </w:t>
      </w:r>
    </w:p>
    <w:p w:rsidR="00E95291" w:rsidRPr="00E95291" w:rsidRDefault="00E95291" w:rsidP="00E95291">
      <w:pPr>
        <w:pStyle w:val="NormalWeb"/>
        <w:shd w:val="clear" w:color="auto" w:fill="FFFFFF"/>
        <w:spacing w:before="0" w:beforeAutospacing="0" w:after="336" w:afterAutospacing="0"/>
        <w:rPr>
          <w:rFonts w:ascii="Arial" w:hAnsi="Arial" w:cs="Arial"/>
          <w:color w:val="222223"/>
          <w:sz w:val="20"/>
          <w:szCs w:val="20"/>
        </w:rPr>
      </w:pPr>
      <w:r w:rsidRPr="00E95291">
        <w:rPr>
          <w:rFonts w:ascii="Arial" w:hAnsi="Arial" w:cs="Arial"/>
          <w:color w:val="222223"/>
          <w:sz w:val="20"/>
          <w:szCs w:val="20"/>
        </w:rPr>
        <w:t>California’s Short-Lived Climate Pollutant Reduction law (SB 1383, Lara, Chapter 395, Statutes of 2016) establishes methane reduction targets for California, including a target to increase recovery by 20 percent of currently disposed of edible food for human consumption by January 1, 2025. </w:t>
      </w:r>
    </w:p>
    <w:p w:rsidR="00E95291" w:rsidRPr="00E95291" w:rsidRDefault="00E95291" w:rsidP="00E95291">
      <w:pPr>
        <w:pStyle w:val="NormalWeb"/>
        <w:shd w:val="clear" w:color="auto" w:fill="FFFFFF"/>
        <w:spacing w:before="0" w:beforeAutospacing="0" w:after="336" w:afterAutospacing="0"/>
        <w:rPr>
          <w:rFonts w:ascii="Arial" w:hAnsi="Arial" w:cs="Arial"/>
          <w:color w:val="222223"/>
          <w:sz w:val="20"/>
          <w:szCs w:val="20"/>
        </w:rPr>
      </w:pPr>
      <w:r w:rsidRPr="00E95291">
        <w:rPr>
          <w:rFonts w:ascii="Arial" w:hAnsi="Arial" w:cs="Arial"/>
          <w:color w:val="222223"/>
          <w:sz w:val="20"/>
          <w:szCs w:val="20"/>
        </w:rPr>
        <w:t>To meet the mandated statewide goal, the law requires each jurisdiction in California to establish and monitor a robust food recovery program, which will strengthen the relationships between commercial edible food generators and food recovery organizations within their communities, requiring certain food businesses to send the maximum amount of edible food they would otherwise dispose of to food recovery organizations. </w:t>
      </w:r>
    </w:p>
    <w:p w:rsidR="00E95291" w:rsidRPr="00E95291" w:rsidRDefault="00E95291" w:rsidP="00E95291">
      <w:pPr>
        <w:shd w:val="clear" w:color="auto" w:fill="FFFFFF"/>
        <w:spacing w:before="40" w:after="0" w:line="240" w:lineRule="auto"/>
        <w:outlineLvl w:val="1"/>
        <w:rPr>
          <w:rFonts w:ascii="Montserrat" w:eastAsia="Times New Roman" w:hAnsi="Montserrat" w:cs="Times New Roman"/>
          <w:b/>
          <w:bCs/>
          <w:color w:val="49496E"/>
          <w:sz w:val="20"/>
          <w:szCs w:val="20"/>
        </w:rPr>
      </w:pPr>
      <w:r w:rsidRPr="00E95291">
        <w:rPr>
          <w:rFonts w:ascii="Montserrat" w:eastAsia="Times New Roman" w:hAnsi="Montserrat" w:cs="Times New Roman"/>
          <w:b/>
          <w:bCs/>
          <w:color w:val="49496E"/>
          <w:sz w:val="20"/>
          <w:szCs w:val="20"/>
        </w:rPr>
        <w:t>What is Edible Food Recovery?</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Edible food recovery is the act of diverting surplus edible food from businesses, organizations, or events that otherwise would previously have been disposed of in a landfill or sent to compost. This recovery service is carried out by food recovery organizations, such as food banks and other community-based organizations.</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Edible Food Recovery helps eradicate food insecurity and waste and may lessen the effects of climate change by reducing methane gas emissions. You must contract for Edible Food Recovery services just like your other waste and recycling services. In Stanislaus County, and throughout the State of California, edible food recovery is now a mandatory program for many food generators, and failure to arrange for adequate services will result in fines and penalties.</w:t>
      </w:r>
    </w:p>
    <w:p w:rsidR="00E95291" w:rsidRPr="00E95291" w:rsidRDefault="00E95291" w:rsidP="00E95291">
      <w:pPr>
        <w:shd w:val="clear" w:color="auto" w:fill="FFFFFF"/>
        <w:spacing w:before="40" w:after="0" w:line="240" w:lineRule="auto"/>
        <w:outlineLvl w:val="1"/>
        <w:rPr>
          <w:rFonts w:ascii="Montserrat" w:eastAsia="Times New Roman" w:hAnsi="Montserrat" w:cs="Arial"/>
          <w:b/>
          <w:bCs/>
          <w:color w:val="49496E"/>
          <w:sz w:val="20"/>
          <w:szCs w:val="20"/>
        </w:rPr>
      </w:pPr>
      <w:r w:rsidRPr="00E95291">
        <w:rPr>
          <w:rFonts w:ascii="Montserrat" w:eastAsia="Times New Roman" w:hAnsi="Montserrat" w:cs="Arial"/>
          <w:b/>
          <w:bCs/>
          <w:color w:val="49496E"/>
          <w:sz w:val="20"/>
          <w:szCs w:val="20"/>
        </w:rPr>
        <w:t>Edible Food Recovery Requirements</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The law phases food donors under two tiers. The first tier is required to donate starting in 20</w:t>
      </w:r>
      <w:bookmarkStart w:id="0" w:name="_GoBack"/>
      <w:bookmarkEnd w:id="0"/>
      <w:r w:rsidRPr="00E95291">
        <w:rPr>
          <w:rFonts w:ascii="Arial" w:eastAsia="Times New Roman" w:hAnsi="Arial" w:cs="Arial"/>
          <w:color w:val="222223"/>
          <w:sz w:val="20"/>
          <w:szCs w:val="20"/>
        </w:rPr>
        <w:t>22. The second tier is required to donate starting in 2024. Mandated food donors can help their communities now by starting to work with local food banks, food pantries, and other food recovery organizations and services. </w:t>
      </w:r>
    </w:p>
    <w:p w:rsidR="00E95291" w:rsidRPr="00E95291" w:rsidRDefault="00E95291" w:rsidP="00E95291">
      <w:pPr>
        <w:shd w:val="clear" w:color="auto" w:fill="FFFFFF"/>
        <w:spacing w:after="0" w:line="240" w:lineRule="auto"/>
        <w:outlineLvl w:val="2"/>
        <w:rPr>
          <w:rFonts w:ascii="Montserrat" w:eastAsia="Times New Roman" w:hAnsi="Montserrat" w:cs="Arial"/>
          <w:b/>
          <w:bCs/>
          <w:color w:val="2E0F1F"/>
          <w:sz w:val="20"/>
          <w:szCs w:val="20"/>
        </w:rPr>
      </w:pPr>
      <w:r w:rsidRPr="00E95291">
        <w:rPr>
          <w:rFonts w:ascii="Montserrat" w:eastAsia="Times New Roman" w:hAnsi="Montserrat" w:cs="Arial"/>
          <w:b/>
          <w:bCs/>
          <w:color w:val="2E0F1F"/>
          <w:sz w:val="20"/>
          <w:szCs w:val="20"/>
        </w:rPr>
        <w:t>Establishing Contracts and Written Agreements</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To ensure that the maximum amount of edible food is recovered, the regulations require that mandated food donors establish contracts or written agreements with food recovery organizations and services. Food recovery organizations and services vary in the amount and types of food they can receive, so mandated food donors may need to establish contracts or written agreements with multiple food recovery organizations and services to be in compliance.</w:t>
      </w:r>
    </w:p>
    <w:p w:rsidR="00E95291" w:rsidRPr="00E95291" w:rsidRDefault="00E95291" w:rsidP="00E95291">
      <w:pPr>
        <w:shd w:val="clear" w:color="auto" w:fill="FFFFFF"/>
        <w:spacing w:after="0" w:line="240" w:lineRule="auto"/>
        <w:outlineLvl w:val="2"/>
        <w:rPr>
          <w:rFonts w:ascii="Montserrat" w:eastAsia="Times New Roman" w:hAnsi="Montserrat" w:cs="Arial"/>
          <w:b/>
          <w:bCs/>
          <w:color w:val="2E0F1F"/>
          <w:sz w:val="20"/>
          <w:szCs w:val="20"/>
        </w:rPr>
      </w:pPr>
      <w:r w:rsidRPr="00E95291">
        <w:rPr>
          <w:rFonts w:ascii="Montserrat" w:eastAsia="Times New Roman" w:hAnsi="Montserrat" w:cs="Arial"/>
          <w:b/>
          <w:bCs/>
          <w:color w:val="2E0F1F"/>
          <w:sz w:val="20"/>
          <w:szCs w:val="20"/>
        </w:rPr>
        <w:t>Recordkeeping</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The law requires mandated food donors to maintain records of their food donation activities. </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CalRecycle has developed a </w:t>
      </w:r>
      <w:hyperlink r:id="rId5" w:history="1">
        <w:r w:rsidRPr="00E95291">
          <w:rPr>
            <w:rFonts w:ascii="Arial" w:eastAsia="Times New Roman" w:hAnsi="Arial" w:cs="Arial"/>
            <w:color w:val="591D3B"/>
            <w:sz w:val="20"/>
            <w:szCs w:val="20"/>
            <w:u w:val="single"/>
          </w:rPr>
          <w:t>model recordkeeping tool </w:t>
        </w:r>
      </w:hyperlink>
      <w:r w:rsidRPr="00E95291">
        <w:rPr>
          <w:rFonts w:ascii="Arial" w:eastAsia="Times New Roman" w:hAnsi="Arial" w:cs="Arial"/>
          <w:color w:val="222223"/>
          <w:sz w:val="20"/>
          <w:szCs w:val="20"/>
        </w:rPr>
        <w:t>that commercial edible food generators can use to ensure compliance with recordkeeping requirements. The use of this specific tool is optional. </w:t>
      </w:r>
    </w:p>
    <w:p w:rsidR="00E95291" w:rsidRPr="00E95291" w:rsidRDefault="00E95291" w:rsidP="00E95291">
      <w:pPr>
        <w:shd w:val="clear" w:color="auto" w:fill="FFFFFF"/>
        <w:spacing w:after="0" w:line="240" w:lineRule="auto"/>
        <w:outlineLvl w:val="2"/>
        <w:rPr>
          <w:rFonts w:ascii="Montserrat" w:eastAsia="Times New Roman" w:hAnsi="Montserrat" w:cs="Arial"/>
          <w:b/>
          <w:bCs/>
          <w:color w:val="2E0F1F"/>
          <w:sz w:val="20"/>
          <w:szCs w:val="20"/>
        </w:rPr>
      </w:pPr>
      <w:r w:rsidRPr="00E95291">
        <w:rPr>
          <w:rFonts w:ascii="Montserrat" w:eastAsia="Times New Roman" w:hAnsi="Montserrat" w:cs="Arial"/>
          <w:b/>
          <w:bCs/>
          <w:color w:val="2E0F1F"/>
          <w:sz w:val="20"/>
          <w:szCs w:val="20"/>
        </w:rPr>
        <w:t>Defining Tier One and Tier Two Commercial Edible Food Generators</w:t>
      </w:r>
    </w:p>
    <w:p w:rsidR="00E95291" w:rsidRPr="00E95291" w:rsidRDefault="00E95291" w:rsidP="00E95291">
      <w:pPr>
        <w:shd w:val="clear" w:color="auto" w:fill="FFFFFF"/>
        <w:spacing w:after="336" w:line="240" w:lineRule="auto"/>
        <w:rPr>
          <w:rFonts w:ascii="Arial" w:eastAsia="Times New Roman" w:hAnsi="Arial" w:cs="Arial"/>
          <w:color w:val="222223"/>
          <w:sz w:val="20"/>
          <w:szCs w:val="20"/>
        </w:rPr>
      </w:pPr>
      <w:r w:rsidRPr="00E95291">
        <w:rPr>
          <w:rFonts w:ascii="Arial" w:eastAsia="Times New Roman" w:hAnsi="Arial" w:cs="Arial"/>
          <w:color w:val="222223"/>
          <w:sz w:val="20"/>
          <w:szCs w:val="20"/>
        </w:rPr>
        <w:t>SB 1383 places commercial edible food generators into two tiers to allow businesses and jurisdictions time to expand or build new food recovery infrastructure and capacity to donate foods that are harder to safely store and distribute.</w:t>
      </w:r>
    </w:p>
    <w:p w:rsidR="00C567BF" w:rsidRDefault="00C567BF">
      <w:pPr>
        <w:rPr>
          <w:sz w:val="20"/>
          <w:szCs w:val="20"/>
        </w:rPr>
      </w:pPr>
    </w:p>
    <w:p w:rsidR="00E95291" w:rsidRDefault="00E95291" w:rsidP="00E95291">
      <w:pPr>
        <w:shd w:val="clear" w:color="auto" w:fill="FFFFFF"/>
        <w:spacing w:before="100" w:beforeAutospacing="1" w:after="100" w:afterAutospacing="1" w:line="240" w:lineRule="auto"/>
        <w:jc w:val="center"/>
        <w:outlineLvl w:val="0"/>
        <w:rPr>
          <w:rFonts w:ascii="Montserrat" w:eastAsia="Times New Roman" w:hAnsi="Montserrat" w:cs="Times New Roman"/>
          <w:b/>
          <w:bCs/>
          <w:color w:val="591D3B"/>
          <w:kern w:val="36"/>
          <w:sz w:val="28"/>
          <w:szCs w:val="28"/>
        </w:rPr>
      </w:pPr>
      <w:r w:rsidRPr="00E95291">
        <w:rPr>
          <w:rFonts w:ascii="Montserrat" w:eastAsia="Times New Roman" w:hAnsi="Montserrat" w:cs="Times New Roman"/>
          <w:b/>
          <w:bCs/>
          <w:color w:val="591D3B"/>
          <w:kern w:val="36"/>
          <w:sz w:val="28"/>
          <w:szCs w:val="28"/>
        </w:rPr>
        <w:lastRenderedPageBreak/>
        <w:t>Commercial Edible Food Generators</w:t>
      </w:r>
    </w:p>
    <w:p w:rsidR="00E95291" w:rsidRDefault="00E95291" w:rsidP="00E95291">
      <w:pPr>
        <w:ind w:left="-810"/>
        <w:rPr>
          <w:rFonts w:ascii="Arial" w:hAnsi="Arial" w:cs="Arial"/>
          <w:sz w:val="20"/>
          <w:szCs w:val="20"/>
        </w:rPr>
      </w:pPr>
      <w:r w:rsidRPr="00E95291">
        <w:rPr>
          <w:rFonts w:ascii="Arial" w:hAnsi="Arial" w:cs="Arial"/>
          <w:sz w:val="20"/>
          <w:szCs w:val="20"/>
        </w:rPr>
        <w:drawing>
          <wp:inline distT="0" distB="0" distL="0" distR="0" wp14:anchorId="0209AC30" wp14:editId="064F8EA6">
            <wp:extent cx="7019925" cy="4059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67936" cy="4087319"/>
                    </a:xfrm>
                    <a:prstGeom prst="rect">
                      <a:avLst/>
                    </a:prstGeom>
                  </pic:spPr>
                </pic:pic>
              </a:graphicData>
            </a:graphic>
          </wp:inline>
        </w:drawing>
      </w:r>
    </w:p>
    <w:p w:rsidR="00E95291" w:rsidRPr="00E95291" w:rsidRDefault="00E95291" w:rsidP="00E95291">
      <w:pPr>
        <w:pStyle w:val="Heading3"/>
        <w:shd w:val="clear" w:color="auto" w:fill="FFFFFF"/>
        <w:spacing w:before="0"/>
        <w:rPr>
          <w:rFonts w:ascii="Arial" w:hAnsi="Arial" w:cs="Arial"/>
          <w:color w:val="2E0F1F"/>
          <w:sz w:val="20"/>
          <w:szCs w:val="20"/>
        </w:rPr>
      </w:pPr>
      <w:r w:rsidRPr="00E95291">
        <w:rPr>
          <w:rFonts w:ascii="Arial" w:hAnsi="Arial" w:cs="Arial"/>
          <w:color w:val="2E0F1F"/>
          <w:sz w:val="20"/>
          <w:szCs w:val="20"/>
        </w:rPr>
        <w:t>Tier One Donors </w:t>
      </w:r>
    </w:p>
    <w:p w:rsidR="00E95291" w:rsidRPr="00E95291" w:rsidRDefault="00E95291" w:rsidP="00E95291">
      <w:pPr>
        <w:pStyle w:val="NormalWeb"/>
        <w:shd w:val="clear" w:color="auto" w:fill="FFFFFF"/>
        <w:spacing w:before="0" w:beforeAutospacing="0" w:after="336" w:afterAutospacing="0"/>
        <w:rPr>
          <w:rFonts w:ascii="Arial" w:hAnsi="Arial" w:cs="Arial"/>
          <w:color w:val="222223"/>
          <w:sz w:val="20"/>
          <w:szCs w:val="20"/>
        </w:rPr>
      </w:pPr>
      <w:r w:rsidRPr="00E95291">
        <w:rPr>
          <w:rFonts w:ascii="Arial" w:hAnsi="Arial" w:cs="Arial"/>
          <w:color w:val="222223"/>
          <w:sz w:val="20"/>
          <w:szCs w:val="20"/>
        </w:rPr>
        <w:t>Required to Send Surplus Food to Food Organizations Starting January 1, 2022 </w:t>
      </w:r>
    </w:p>
    <w:p w:rsidR="00E95291" w:rsidRPr="00E95291" w:rsidRDefault="00E95291" w:rsidP="00E95291">
      <w:pPr>
        <w:numPr>
          <w:ilvl w:val="0"/>
          <w:numId w:val="1"/>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Supermarkets with revenue ≥ $2 million. </w:t>
      </w:r>
    </w:p>
    <w:p w:rsidR="00E95291" w:rsidRPr="00E95291" w:rsidRDefault="00E95291" w:rsidP="00E95291">
      <w:pPr>
        <w:numPr>
          <w:ilvl w:val="0"/>
          <w:numId w:val="1"/>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Grocery Stores with Facilities ≥ 10,000 sq. ft. </w:t>
      </w:r>
    </w:p>
    <w:p w:rsidR="00E95291" w:rsidRPr="00E95291" w:rsidRDefault="00E95291" w:rsidP="00E95291">
      <w:pPr>
        <w:numPr>
          <w:ilvl w:val="0"/>
          <w:numId w:val="1"/>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Food Service Providers </w:t>
      </w:r>
    </w:p>
    <w:p w:rsidR="00E95291" w:rsidRPr="00E95291" w:rsidRDefault="00E95291" w:rsidP="00E95291">
      <w:pPr>
        <w:numPr>
          <w:ilvl w:val="0"/>
          <w:numId w:val="1"/>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Food Distributors </w:t>
      </w:r>
    </w:p>
    <w:p w:rsidR="00E95291" w:rsidRPr="00E95291" w:rsidRDefault="00E95291" w:rsidP="00E95291">
      <w:pPr>
        <w:numPr>
          <w:ilvl w:val="0"/>
          <w:numId w:val="1"/>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Wholesale Food Vendors</w:t>
      </w:r>
    </w:p>
    <w:p w:rsidR="00E95291" w:rsidRPr="00E95291" w:rsidRDefault="00E95291" w:rsidP="00E95291">
      <w:pPr>
        <w:pStyle w:val="Heading3"/>
        <w:shd w:val="clear" w:color="auto" w:fill="FFFFFF"/>
        <w:spacing w:before="0"/>
        <w:rPr>
          <w:rFonts w:ascii="Arial" w:hAnsi="Arial" w:cs="Arial"/>
          <w:color w:val="2E0F1F"/>
          <w:sz w:val="20"/>
          <w:szCs w:val="20"/>
        </w:rPr>
      </w:pPr>
      <w:r w:rsidRPr="00E95291">
        <w:rPr>
          <w:rFonts w:ascii="Arial" w:hAnsi="Arial" w:cs="Arial"/>
          <w:color w:val="2E0F1F"/>
          <w:sz w:val="20"/>
          <w:szCs w:val="20"/>
        </w:rPr>
        <w:t>Tier Two Donors </w:t>
      </w:r>
    </w:p>
    <w:p w:rsidR="00E95291" w:rsidRPr="00E95291" w:rsidRDefault="00E95291" w:rsidP="00E95291">
      <w:pPr>
        <w:pStyle w:val="NormalWeb"/>
        <w:shd w:val="clear" w:color="auto" w:fill="FFFFFF"/>
        <w:spacing w:before="0" w:beforeAutospacing="0" w:after="336" w:afterAutospacing="0"/>
        <w:rPr>
          <w:rFonts w:ascii="Arial" w:hAnsi="Arial" w:cs="Arial"/>
          <w:color w:val="222223"/>
          <w:sz w:val="20"/>
          <w:szCs w:val="20"/>
        </w:rPr>
      </w:pPr>
      <w:r w:rsidRPr="00E95291">
        <w:rPr>
          <w:rFonts w:ascii="Arial" w:hAnsi="Arial" w:cs="Arial"/>
          <w:color w:val="222223"/>
          <w:sz w:val="20"/>
          <w:szCs w:val="20"/>
        </w:rPr>
        <w:t>Required to Send Surplus Food to Food Organizations Starting January 1, 2024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Restaurants with Facilities ≥ 5,000 sq. ft. or 250+ seats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Hotels with an On-Site Food Facility and 200+ Rooms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Health Facilities with an On-Site Food Facility and 100+ Beds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Large Venues and Events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State Agency Cafeterias with Facilities ≥ 5,000 sq. ft. or 250+ seats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Local Education Agency with an On-Site Food Facility </w:t>
      </w:r>
    </w:p>
    <w:p w:rsidR="00E95291" w:rsidRPr="00E95291" w:rsidRDefault="00E95291" w:rsidP="00E95291">
      <w:pPr>
        <w:numPr>
          <w:ilvl w:val="0"/>
          <w:numId w:val="2"/>
        </w:numPr>
        <w:shd w:val="clear" w:color="auto" w:fill="FFFFFF"/>
        <w:spacing w:before="100" w:beforeAutospacing="1" w:after="84" w:line="240" w:lineRule="auto"/>
        <w:ind w:left="0"/>
        <w:rPr>
          <w:rFonts w:ascii="Arial" w:hAnsi="Arial" w:cs="Arial"/>
          <w:color w:val="222223"/>
          <w:sz w:val="20"/>
          <w:szCs w:val="20"/>
        </w:rPr>
      </w:pPr>
      <w:r w:rsidRPr="00E95291">
        <w:rPr>
          <w:rFonts w:ascii="Arial" w:hAnsi="Arial" w:cs="Arial"/>
          <w:color w:val="222223"/>
          <w:sz w:val="20"/>
          <w:szCs w:val="20"/>
        </w:rPr>
        <w:t>Non-Local Entities </w:t>
      </w:r>
    </w:p>
    <w:p w:rsidR="00E95291" w:rsidRDefault="00E95291" w:rsidP="00E95291">
      <w:pPr>
        <w:ind w:left="-810"/>
        <w:rPr>
          <w:rFonts w:ascii="Arial" w:hAnsi="Arial" w:cs="Arial"/>
          <w:color w:val="222223"/>
          <w:sz w:val="23"/>
          <w:szCs w:val="23"/>
          <w:shd w:val="clear" w:color="auto" w:fill="FFFFFF"/>
        </w:rPr>
      </w:pPr>
      <w:r>
        <w:rPr>
          <w:rFonts w:ascii="Arial" w:hAnsi="Arial" w:cs="Arial"/>
          <w:color w:val="222223"/>
          <w:sz w:val="23"/>
          <w:szCs w:val="23"/>
          <w:shd w:val="clear" w:color="auto" w:fill="FFFFFF"/>
        </w:rPr>
        <w:t>The following are local </w:t>
      </w:r>
      <w:r>
        <w:rPr>
          <w:rStyle w:val="Strong"/>
          <w:rFonts w:ascii="Arial" w:hAnsi="Arial" w:cs="Arial"/>
          <w:color w:val="222223"/>
          <w:sz w:val="23"/>
          <w:szCs w:val="23"/>
          <w:shd w:val="clear" w:color="auto" w:fill="FFFFFF"/>
        </w:rPr>
        <w:t>Food Recovery Organizations</w:t>
      </w:r>
      <w:r>
        <w:rPr>
          <w:rFonts w:ascii="Arial" w:hAnsi="Arial" w:cs="Arial"/>
          <w:color w:val="222223"/>
          <w:sz w:val="23"/>
          <w:szCs w:val="23"/>
          <w:shd w:val="clear" w:color="auto" w:fill="FFFFFF"/>
        </w:rPr>
        <w:t>. Please contact them for more information:</w:t>
      </w:r>
    </w:p>
    <w:p w:rsidR="0096237C" w:rsidRDefault="0096237C" w:rsidP="0096237C">
      <w:pPr>
        <w:pStyle w:val="ListParagraph"/>
        <w:numPr>
          <w:ilvl w:val="0"/>
          <w:numId w:val="3"/>
        </w:numPr>
        <w:rPr>
          <w:rFonts w:ascii="Arial" w:hAnsi="Arial" w:cs="Arial"/>
          <w:sz w:val="20"/>
          <w:szCs w:val="20"/>
        </w:rPr>
      </w:pPr>
      <w:r>
        <w:rPr>
          <w:rFonts w:ascii="Arial" w:hAnsi="Arial" w:cs="Arial"/>
          <w:sz w:val="20"/>
          <w:szCs w:val="20"/>
        </w:rPr>
        <w:t xml:space="preserve">Merced County Food Bank </w:t>
      </w:r>
    </w:p>
    <w:p w:rsidR="0096237C" w:rsidRDefault="0096237C" w:rsidP="0096237C">
      <w:pPr>
        <w:ind w:left="-450" w:firstLine="360"/>
        <w:rPr>
          <w:rFonts w:ascii="Arial" w:hAnsi="Arial" w:cs="Arial"/>
          <w:sz w:val="20"/>
          <w:szCs w:val="20"/>
        </w:rPr>
      </w:pPr>
      <w:r>
        <w:rPr>
          <w:rFonts w:ascii="Arial" w:hAnsi="Arial" w:cs="Arial"/>
          <w:sz w:val="20"/>
          <w:szCs w:val="20"/>
        </w:rPr>
        <w:t>2000 W. Olive Ave, Merced; (209) 726-3663</w:t>
      </w:r>
    </w:p>
    <w:p w:rsidR="0096237C" w:rsidRDefault="0096237C" w:rsidP="0096237C">
      <w:pPr>
        <w:ind w:left="-450" w:firstLine="360"/>
        <w:rPr>
          <w:rFonts w:ascii="Arial" w:hAnsi="Arial" w:cs="Arial"/>
          <w:sz w:val="20"/>
          <w:szCs w:val="20"/>
        </w:rPr>
      </w:pPr>
      <w:r>
        <w:rPr>
          <w:rFonts w:ascii="Arial" w:hAnsi="Arial" w:cs="Arial"/>
          <w:sz w:val="20"/>
          <w:szCs w:val="20"/>
        </w:rPr>
        <w:t>Service area: Merced County and Mariposa County</w:t>
      </w:r>
    </w:p>
    <w:p w:rsidR="0096237C" w:rsidRDefault="00FF1B5A" w:rsidP="0096237C">
      <w:pPr>
        <w:ind w:left="-450" w:firstLine="3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"https://mmcfb.org/" </w:instrText>
      </w:r>
      <w:r>
        <w:rPr>
          <w:rFonts w:ascii="Arial" w:hAnsi="Arial" w:cs="Arial"/>
          <w:sz w:val="20"/>
          <w:szCs w:val="20"/>
        </w:rPr>
      </w:r>
      <w:r>
        <w:rPr>
          <w:rFonts w:ascii="Arial" w:hAnsi="Arial" w:cs="Arial"/>
          <w:sz w:val="20"/>
          <w:szCs w:val="20"/>
        </w:rPr>
        <w:fldChar w:fldCharType="separate"/>
      </w:r>
      <w:r w:rsidRPr="00FF1B5A">
        <w:rPr>
          <w:rStyle w:val="Hyperlink"/>
          <w:rFonts w:ascii="Arial" w:hAnsi="Arial" w:cs="Arial"/>
          <w:sz w:val="20"/>
          <w:szCs w:val="20"/>
        </w:rPr>
        <w:t>https://mm</w:t>
      </w:r>
      <w:r w:rsidRPr="00FF1B5A">
        <w:rPr>
          <w:rStyle w:val="Hyperlink"/>
          <w:rFonts w:ascii="Arial" w:hAnsi="Arial" w:cs="Arial"/>
          <w:sz w:val="20"/>
          <w:szCs w:val="20"/>
        </w:rPr>
        <w:t>c</w:t>
      </w:r>
      <w:r w:rsidRPr="00FF1B5A">
        <w:rPr>
          <w:rStyle w:val="Hyperlink"/>
          <w:rFonts w:ascii="Arial" w:hAnsi="Arial" w:cs="Arial"/>
          <w:sz w:val="20"/>
          <w:szCs w:val="20"/>
        </w:rPr>
        <w:t>fb.org/</w:t>
      </w:r>
      <w:r>
        <w:rPr>
          <w:rFonts w:ascii="Arial" w:hAnsi="Arial" w:cs="Arial"/>
          <w:sz w:val="20"/>
          <w:szCs w:val="20"/>
        </w:rPr>
        <w:fldChar w:fldCharType="end"/>
      </w:r>
    </w:p>
    <w:p w:rsidR="0096237C" w:rsidRDefault="0096237C" w:rsidP="0096237C">
      <w:pPr>
        <w:ind w:left="-90"/>
        <w:rPr>
          <w:rFonts w:ascii="Arial" w:hAnsi="Arial" w:cs="Arial"/>
          <w:sz w:val="20"/>
          <w:szCs w:val="20"/>
        </w:rPr>
      </w:pPr>
      <w:r>
        <w:rPr>
          <w:rFonts w:ascii="Arial" w:hAnsi="Arial" w:cs="Arial"/>
          <w:sz w:val="20"/>
          <w:szCs w:val="20"/>
        </w:rPr>
        <w:t>Accepts non-perishables and fresh produce (such as uncut vegetables and fruit), and dry staple foods (such as beans and rice).</w:t>
      </w:r>
    </w:p>
    <w:p w:rsidR="0096237C" w:rsidRDefault="0096237C" w:rsidP="0096237C">
      <w:pPr>
        <w:pStyle w:val="ListParagraph"/>
        <w:numPr>
          <w:ilvl w:val="0"/>
          <w:numId w:val="3"/>
        </w:numPr>
        <w:rPr>
          <w:rFonts w:ascii="Arial" w:hAnsi="Arial" w:cs="Arial"/>
          <w:sz w:val="20"/>
          <w:szCs w:val="20"/>
        </w:rPr>
      </w:pPr>
      <w:r>
        <w:rPr>
          <w:rFonts w:ascii="Arial" w:hAnsi="Arial" w:cs="Arial"/>
          <w:sz w:val="20"/>
          <w:szCs w:val="20"/>
        </w:rPr>
        <w:t>Livingston’s People’s Fridge</w:t>
      </w:r>
    </w:p>
    <w:p w:rsidR="0096237C" w:rsidRDefault="0096237C" w:rsidP="0096237C">
      <w:pPr>
        <w:pStyle w:val="ListParagraph"/>
        <w:ind w:left="-90"/>
        <w:rPr>
          <w:rFonts w:ascii="Arial" w:hAnsi="Arial" w:cs="Arial"/>
          <w:sz w:val="20"/>
          <w:szCs w:val="20"/>
        </w:rPr>
      </w:pPr>
      <w:r>
        <w:rPr>
          <w:rFonts w:ascii="Arial" w:hAnsi="Arial" w:cs="Arial"/>
          <w:sz w:val="20"/>
          <w:szCs w:val="20"/>
        </w:rPr>
        <w:t>1310 Main Street, Livingston (outside Emmanuel Baptist Church); (209) 205-8102</w:t>
      </w:r>
    </w:p>
    <w:p w:rsidR="0096237C" w:rsidRDefault="0096237C" w:rsidP="0096237C">
      <w:pPr>
        <w:pStyle w:val="ListParagraph"/>
        <w:ind w:left="-90"/>
        <w:rPr>
          <w:rFonts w:ascii="Arial" w:hAnsi="Arial" w:cs="Arial"/>
          <w:sz w:val="20"/>
          <w:szCs w:val="20"/>
        </w:rPr>
      </w:pPr>
      <w:r>
        <w:rPr>
          <w:rFonts w:ascii="Arial" w:hAnsi="Arial" w:cs="Arial"/>
          <w:sz w:val="20"/>
          <w:szCs w:val="20"/>
        </w:rPr>
        <w:t>Service Area: Livingston</w:t>
      </w:r>
    </w:p>
    <w:p w:rsidR="0096237C" w:rsidRDefault="0096237C" w:rsidP="0096237C">
      <w:pPr>
        <w:pStyle w:val="ListParagraph"/>
        <w:ind w:left="-90"/>
        <w:rPr>
          <w:rFonts w:ascii="Arial" w:hAnsi="Arial" w:cs="Arial"/>
          <w:sz w:val="20"/>
          <w:szCs w:val="20"/>
        </w:rPr>
      </w:pPr>
      <w:r>
        <w:rPr>
          <w:rFonts w:ascii="Arial" w:hAnsi="Arial" w:cs="Arial"/>
          <w:sz w:val="20"/>
          <w:szCs w:val="20"/>
        </w:rPr>
        <w:t>Accepts fresh fruits and vegetables 24/7.</w:t>
      </w:r>
    </w:p>
    <w:p w:rsidR="00FF1B5A" w:rsidRDefault="00FF1B5A" w:rsidP="0096237C">
      <w:pPr>
        <w:pStyle w:val="ListParagraph"/>
        <w:ind w:left="-90"/>
        <w:rPr>
          <w:rFonts w:ascii="Arial" w:hAnsi="Arial" w:cs="Arial"/>
          <w:sz w:val="20"/>
          <w:szCs w:val="20"/>
        </w:rPr>
      </w:pPr>
      <w:hyperlink r:id="rId7" w:history="1">
        <w:r w:rsidRPr="00FF1B5A">
          <w:rPr>
            <w:rStyle w:val="Hyperlink"/>
            <w:rFonts w:ascii="Arial" w:hAnsi="Arial" w:cs="Arial"/>
            <w:sz w:val="20"/>
            <w:szCs w:val="20"/>
          </w:rPr>
          <w:t>https://www.peop</w:t>
        </w:r>
        <w:r w:rsidRPr="00FF1B5A">
          <w:rPr>
            <w:rStyle w:val="Hyperlink"/>
            <w:rFonts w:ascii="Arial" w:hAnsi="Arial" w:cs="Arial"/>
            <w:sz w:val="20"/>
            <w:szCs w:val="20"/>
          </w:rPr>
          <w:t>l</w:t>
        </w:r>
        <w:r w:rsidRPr="00FF1B5A">
          <w:rPr>
            <w:rStyle w:val="Hyperlink"/>
            <w:rFonts w:ascii="Arial" w:hAnsi="Arial" w:cs="Arial"/>
            <w:sz w:val="20"/>
            <w:szCs w:val="20"/>
          </w:rPr>
          <w:t>esfridge.org/locations</w:t>
        </w:r>
      </w:hyperlink>
    </w:p>
    <w:p w:rsidR="00FF1B5A" w:rsidRDefault="00FF1B5A" w:rsidP="0096237C">
      <w:pPr>
        <w:pStyle w:val="ListParagraph"/>
        <w:ind w:left="-90"/>
        <w:rPr>
          <w:rFonts w:ascii="Arial" w:hAnsi="Arial" w:cs="Arial"/>
          <w:sz w:val="20"/>
          <w:szCs w:val="20"/>
        </w:rPr>
      </w:pPr>
    </w:p>
    <w:p w:rsidR="00FF1B5A" w:rsidRDefault="00FF1B5A" w:rsidP="00FF1B5A">
      <w:pPr>
        <w:pStyle w:val="ListParagraph"/>
        <w:numPr>
          <w:ilvl w:val="0"/>
          <w:numId w:val="3"/>
        </w:numPr>
        <w:rPr>
          <w:rFonts w:ascii="Arial" w:hAnsi="Arial" w:cs="Arial"/>
          <w:sz w:val="20"/>
          <w:szCs w:val="20"/>
        </w:rPr>
      </w:pPr>
      <w:r>
        <w:rPr>
          <w:rFonts w:ascii="Arial" w:hAnsi="Arial" w:cs="Arial"/>
          <w:sz w:val="20"/>
          <w:szCs w:val="20"/>
        </w:rPr>
        <w:t xml:space="preserve">Second Harvest of the Greater Valley </w:t>
      </w:r>
    </w:p>
    <w:p w:rsidR="00FF1B5A" w:rsidRDefault="00FF1B5A" w:rsidP="00FF1B5A">
      <w:pPr>
        <w:rPr>
          <w:rFonts w:ascii="Arial" w:hAnsi="Arial" w:cs="Arial"/>
          <w:sz w:val="20"/>
          <w:szCs w:val="20"/>
        </w:rPr>
      </w:pPr>
      <w:r>
        <w:rPr>
          <w:rFonts w:ascii="Arial" w:hAnsi="Arial" w:cs="Arial"/>
          <w:sz w:val="20"/>
          <w:szCs w:val="20"/>
        </w:rPr>
        <w:t>1220 Vanderbilt Circle, Manteca; (209) 239-2091</w:t>
      </w:r>
    </w:p>
    <w:p w:rsidR="00FF1B5A" w:rsidRDefault="00FF1B5A" w:rsidP="00FF1B5A">
      <w:pPr>
        <w:rPr>
          <w:rFonts w:ascii="Arial" w:hAnsi="Arial" w:cs="Arial"/>
          <w:sz w:val="20"/>
          <w:szCs w:val="20"/>
        </w:rPr>
      </w:pPr>
      <w:r>
        <w:rPr>
          <w:rFonts w:ascii="Arial" w:hAnsi="Arial" w:cs="Arial"/>
          <w:sz w:val="20"/>
          <w:szCs w:val="20"/>
        </w:rPr>
        <w:t>Service Area: the Greater Valley</w:t>
      </w:r>
    </w:p>
    <w:p w:rsidR="00FF1B5A" w:rsidRDefault="00FF1B5A" w:rsidP="00FF1B5A">
      <w:pPr>
        <w:rPr>
          <w:rFonts w:ascii="Arial" w:hAnsi="Arial" w:cs="Arial"/>
          <w:sz w:val="20"/>
          <w:szCs w:val="20"/>
        </w:rPr>
      </w:pPr>
      <w:r>
        <w:rPr>
          <w:rFonts w:ascii="Arial" w:hAnsi="Arial" w:cs="Arial"/>
          <w:sz w:val="20"/>
          <w:szCs w:val="20"/>
        </w:rPr>
        <w:t>Accepts unexpired food that has labels showing nutritional value and a list of ingredients, please call (209) 239-2091.</w:t>
      </w:r>
    </w:p>
    <w:p w:rsidR="00FF1B5A" w:rsidRPr="00FF1B5A" w:rsidRDefault="00FF1B5A" w:rsidP="00FF1B5A">
      <w:pPr>
        <w:rPr>
          <w:rFonts w:ascii="Arial" w:hAnsi="Arial" w:cs="Arial"/>
          <w:sz w:val="20"/>
          <w:szCs w:val="20"/>
        </w:rPr>
      </w:pPr>
      <w:r>
        <w:rPr>
          <w:rFonts w:ascii="Roboto" w:hAnsi="Roboto"/>
          <w:color w:val="000000"/>
          <w:sz w:val="26"/>
          <w:szCs w:val="26"/>
          <w:shd w:val="clear" w:color="auto" w:fill="FEFEFE"/>
        </w:rPr>
        <w:t> </w:t>
      </w:r>
      <w:hyperlink r:id="rId8" w:tgtFrame="_blank" w:history="1">
        <w:r>
          <w:rPr>
            <w:rStyle w:val="Hyperlink"/>
            <w:rFonts w:ascii="Roboto" w:hAnsi="Roboto"/>
            <w:color w:val="0645AD"/>
            <w:sz w:val="26"/>
            <w:szCs w:val="26"/>
            <w:shd w:val="clear" w:color="auto" w:fill="FEFEFE"/>
          </w:rPr>
          <w:t>www.</w:t>
        </w:r>
        <w:r w:rsidRPr="00276934">
          <w:rPr>
            <w:rStyle w:val="Hyperlink"/>
            <w:rFonts w:ascii="Arial" w:hAnsi="Arial" w:cs="Arial"/>
            <w:color w:val="0645AD"/>
            <w:sz w:val="20"/>
            <w:szCs w:val="20"/>
            <w:shd w:val="clear" w:color="auto" w:fill="FEFEFE"/>
          </w:rPr>
          <w:t>localfoodbank</w:t>
        </w:r>
        <w:r>
          <w:rPr>
            <w:rStyle w:val="Hyperlink"/>
            <w:rFonts w:ascii="Roboto" w:hAnsi="Roboto"/>
            <w:color w:val="0645AD"/>
            <w:sz w:val="26"/>
            <w:szCs w:val="26"/>
            <w:shd w:val="clear" w:color="auto" w:fill="FEFEFE"/>
          </w:rPr>
          <w:t>.</w:t>
        </w:r>
        <w:r>
          <w:rPr>
            <w:rStyle w:val="Hyperlink"/>
            <w:rFonts w:ascii="Roboto" w:hAnsi="Roboto"/>
            <w:color w:val="0645AD"/>
            <w:sz w:val="26"/>
            <w:szCs w:val="26"/>
            <w:shd w:val="clear" w:color="auto" w:fill="FEFEFE"/>
          </w:rPr>
          <w:t>org</w:t>
        </w:r>
      </w:hyperlink>
    </w:p>
    <w:p w:rsidR="00FF1B5A" w:rsidRPr="00FF1B5A" w:rsidRDefault="00FF1B5A">
      <w:pPr>
        <w:rPr>
          <w:rFonts w:ascii="Arial" w:hAnsi="Arial" w:cs="Arial"/>
          <w:sz w:val="20"/>
          <w:szCs w:val="20"/>
        </w:rPr>
      </w:pPr>
    </w:p>
    <w:sectPr w:rsidR="00FF1B5A" w:rsidRPr="00FF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4AD2"/>
    <w:multiLevelType w:val="multilevel"/>
    <w:tmpl w:val="3B2C8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37D34A6"/>
    <w:multiLevelType w:val="multilevel"/>
    <w:tmpl w:val="26BA0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7783DC8"/>
    <w:multiLevelType w:val="hybridMultilevel"/>
    <w:tmpl w:val="54C0B79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1"/>
    <w:rsid w:val="00276934"/>
    <w:rsid w:val="006D67D2"/>
    <w:rsid w:val="007D504C"/>
    <w:rsid w:val="0096237C"/>
    <w:rsid w:val="00C567BF"/>
    <w:rsid w:val="00E95291"/>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A5335-FD42-4F24-A2B9-B1CA2366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95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52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52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9529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9529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95291"/>
    <w:rPr>
      <w:b/>
      <w:bCs/>
    </w:rPr>
  </w:style>
  <w:style w:type="paragraph" w:styleId="ListParagraph">
    <w:name w:val="List Paragraph"/>
    <w:basedOn w:val="Normal"/>
    <w:uiPriority w:val="34"/>
    <w:qFormat/>
    <w:rsid w:val="0096237C"/>
    <w:pPr>
      <w:ind w:left="720"/>
      <w:contextualSpacing/>
    </w:pPr>
  </w:style>
  <w:style w:type="character" w:styleId="Hyperlink">
    <w:name w:val="Hyperlink"/>
    <w:basedOn w:val="DefaultParagraphFont"/>
    <w:uiPriority w:val="99"/>
    <w:unhideWhenUsed/>
    <w:rsid w:val="0096237C"/>
    <w:rPr>
      <w:color w:val="0563C1" w:themeColor="hyperlink"/>
      <w:u w:val="single"/>
    </w:rPr>
  </w:style>
  <w:style w:type="character" w:styleId="FollowedHyperlink">
    <w:name w:val="FollowedHyperlink"/>
    <w:basedOn w:val="DefaultParagraphFont"/>
    <w:uiPriority w:val="99"/>
    <w:semiHidden/>
    <w:unhideWhenUsed/>
    <w:rsid w:val="00FF1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0937">
      <w:bodyDiv w:val="1"/>
      <w:marLeft w:val="0"/>
      <w:marRight w:val="0"/>
      <w:marTop w:val="0"/>
      <w:marBottom w:val="0"/>
      <w:divBdr>
        <w:top w:val="none" w:sz="0" w:space="0" w:color="auto"/>
        <w:left w:val="none" w:sz="0" w:space="0" w:color="auto"/>
        <w:bottom w:val="none" w:sz="0" w:space="0" w:color="auto"/>
        <w:right w:val="none" w:sz="0" w:space="0" w:color="auto"/>
      </w:divBdr>
    </w:div>
    <w:div w:id="385299949">
      <w:bodyDiv w:val="1"/>
      <w:marLeft w:val="0"/>
      <w:marRight w:val="0"/>
      <w:marTop w:val="0"/>
      <w:marBottom w:val="0"/>
      <w:divBdr>
        <w:top w:val="none" w:sz="0" w:space="0" w:color="auto"/>
        <w:left w:val="none" w:sz="0" w:space="0" w:color="auto"/>
        <w:bottom w:val="none" w:sz="0" w:space="0" w:color="auto"/>
        <w:right w:val="none" w:sz="0" w:space="0" w:color="auto"/>
      </w:divBdr>
      <w:divsChild>
        <w:div w:id="1391075385">
          <w:marLeft w:val="0"/>
          <w:marRight w:val="0"/>
          <w:marTop w:val="0"/>
          <w:marBottom w:val="0"/>
          <w:divBdr>
            <w:top w:val="none" w:sz="0" w:space="0" w:color="auto"/>
            <w:left w:val="none" w:sz="0" w:space="0" w:color="auto"/>
            <w:bottom w:val="none" w:sz="0" w:space="0" w:color="auto"/>
            <w:right w:val="none" w:sz="0" w:space="0" w:color="auto"/>
          </w:divBdr>
          <w:divsChild>
            <w:div w:id="1241258048">
              <w:marLeft w:val="0"/>
              <w:marRight w:val="0"/>
              <w:marTop w:val="0"/>
              <w:marBottom w:val="0"/>
              <w:divBdr>
                <w:top w:val="none" w:sz="0" w:space="0" w:color="auto"/>
                <w:left w:val="none" w:sz="0" w:space="0" w:color="auto"/>
                <w:bottom w:val="none" w:sz="0" w:space="0" w:color="auto"/>
                <w:right w:val="none" w:sz="0" w:space="0" w:color="auto"/>
              </w:divBdr>
              <w:divsChild>
                <w:div w:id="165172579">
                  <w:marLeft w:val="0"/>
                  <w:marRight w:val="0"/>
                  <w:marTop w:val="0"/>
                  <w:marBottom w:val="0"/>
                  <w:divBdr>
                    <w:top w:val="none" w:sz="0" w:space="0" w:color="auto"/>
                    <w:left w:val="none" w:sz="0" w:space="0" w:color="auto"/>
                    <w:bottom w:val="none" w:sz="0" w:space="0" w:color="auto"/>
                    <w:right w:val="none" w:sz="0" w:space="0" w:color="auto"/>
                  </w:divBdr>
                  <w:divsChild>
                    <w:div w:id="9704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6235">
          <w:marLeft w:val="0"/>
          <w:marRight w:val="0"/>
          <w:marTop w:val="0"/>
          <w:marBottom w:val="0"/>
          <w:divBdr>
            <w:top w:val="none" w:sz="0" w:space="0" w:color="auto"/>
            <w:left w:val="none" w:sz="0" w:space="0" w:color="auto"/>
            <w:bottom w:val="none" w:sz="0" w:space="0" w:color="auto"/>
            <w:right w:val="none" w:sz="0" w:space="0" w:color="auto"/>
          </w:divBdr>
          <w:divsChild>
            <w:div w:id="1838032443">
              <w:marLeft w:val="0"/>
              <w:marRight w:val="0"/>
              <w:marTop w:val="0"/>
              <w:marBottom w:val="0"/>
              <w:divBdr>
                <w:top w:val="none" w:sz="0" w:space="0" w:color="auto"/>
                <w:left w:val="none" w:sz="0" w:space="0" w:color="auto"/>
                <w:bottom w:val="none" w:sz="0" w:space="0" w:color="auto"/>
                <w:right w:val="none" w:sz="0" w:space="0" w:color="auto"/>
              </w:divBdr>
              <w:divsChild>
                <w:div w:id="687292660">
                  <w:marLeft w:val="0"/>
                  <w:marRight w:val="0"/>
                  <w:marTop w:val="0"/>
                  <w:marBottom w:val="0"/>
                  <w:divBdr>
                    <w:top w:val="none" w:sz="0" w:space="0" w:color="auto"/>
                    <w:left w:val="none" w:sz="0" w:space="0" w:color="auto"/>
                    <w:bottom w:val="none" w:sz="0" w:space="0" w:color="auto"/>
                    <w:right w:val="none" w:sz="0" w:space="0" w:color="auto"/>
                  </w:divBdr>
                  <w:divsChild>
                    <w:div w:id="9014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59650">
      <w:bodyDiv w:val="1"/>
      <w:marLeft w:val="0"/>
      <w:marRight w:val="0"/>
      <w:marTop w:val="0"/>
      <w:marBottom w:val="0"/>
      <w:divBdr>
        <w:top w:val="none" w:sz="0" w:space="0" w:color="auto"/>
        <w:left w:val="none" w:sz="0" w:space="0" w:color="auto"/>
        <w:bottom w:val="none" w:sz="0" w:space="0" w:color="auto"/>
        <w:right w:val="none" w:sz="0" w:space="0" w:color="auto"/>
      </w:divBdr>
      <w:divsChild>
        <w:div w:id="940063193">
          <w:marLeft w:val="0"/>
          <w:marRight w:val="0"/>
          <w:marTop w:val="0"/>
          <w:marBottom w:val="0"/>
          <w:divBdr>
            <w:top w:val="none" w:sz="0" w:space="0" w:color="auto"/>
            <w:left w:val="none" w:sz="0" w:space="0" w:color="auto"/>
            <w:bottom w:val="none" w:sz="0" w:space="0" w:color="auto"/>
            <w:right w:val="none" w:sz="0" w:space="0" w:color="auto"/>
          </w:divBdr>
          <w:divsChild>
            <w:div w:id="255751147">
              <w:marLeft w:val="0"/>
              <w:marRight w:val="0"/>
              <w:marTop w:val="0"/>
              <w:marBottom w:val="0"/>
              <w:divBdr>
                <w:top w:val="none" w:sz="0" w:space="0" w:color="auto"/>
                <w:left w:val="none" w:sz="0" w:space="0" w:color="auto"/>
                <w:bottom w:val="none" w:sz="0" w:space="0" w:color="auto"/>
                <w:right w:val="none" w:sz="0" w:space="0" w:color="auto"/>
              </w:divBdr>
              <w:divsChild>
                <w:div w:id="1554274477">
                  <w:marLeft w:val="0"/>
                  <w:marRight w:val="0"/>
                  <w:marTop w:val="0"/>
                  <w:marBottom w:val="0"/>
                  <w:divBdr>
                    <w:top w:val="none" w:sz="0" w:space="0" w:color="auto"/>
                    <w:left w:val="none" w:sz="0" w:space="0" w:color="auto"/>
                    <w:bottom w:val="none" w:sz="0" w:space="0" w:color="auto"/>
                    <w:right w:val="none" w:sz="0" w:space="0" w:color="auto"/>
                  </w:divBdr>
                  <w:divsChild>
                    <w:div w:id="1603806279">
                      <w:marLeft w:val="0"/>
                      <w:marRight w:val="0"/>
                      <w:marTop w:val="0"/>
                      <w:marBottom w:val="0"/>
                      <w:divBdr>
                        <w:top w:val="none" w:sz="0" w:space="0" w:color="auto"/>
                        <w:left w:val="none" w:sz="0" w:space="0" w:color="auto"/>
                        <w:bottom w:val="none" w:sz="0" w:space="0" w:color="auto"/>
                        <w:right w:val="none" w:sz="0" w:space="0" w:color="auto"/>
                      </w:divBdr>
                      <w:divsChild>
                        <w:div w:id="697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3552">
          <w:marLeft w:val="0"/>
          <w:marRight w:val="0"/>
          <w:marTop w:val="0"/>
          <w:marBottom w:val="0"/>
          <w:divBdr>
            <w:top w:val="none" w:sz="0" w:space="0" w:color="auto"/>
            <w:left w:val="none" w:sz="0" w:space="0" w:color="auto"/>
            <w:bottom w:val="none" w:sz="0" w:space="0" w:color="auto"/>
            <w:right w:val="none" w:sz="0" w:space="0" w:color="auto"/>
          </w:divBdr>
          <w:divsChild>
            <w:div w:id="1730573939">
              <w:marLeft w:val="0"/>
              <w:marRight w:val="0"/>
              <w:marTop w:val="0"/>
              <w:marBottom w:val="0"/>
              <w:divBdr>
                <w:top w:val="none" w:sz="0" w:space="0" w:color="auto"/>
                <w:left w:val="none" w:sz="0" w:space="0" w:color="auto"/>
                <w:bottom w:val="none" w:sz="0" w:space="0" w:color="auto"/>
                <w:right w:val="none" w:sz="0" w:space="0" w:color="auto"/>
              </w:divBdr>
              <w:divsChild>
                <w:div w:id="1728646905">
                  <w:marLeft w:val="0"/>
                  <w:marRight w:val="0"/>
                  <w:marTop w:val="0"/>
                  <w:marBottom w:val="0"/>
                  <w:divBdr>
                    <w:top w:val="none" w:sz="0" w:space="0" w:color="auto"/>
                    <w:left w:val="none" w:sz="0" w:space="0" w:color="auto"/>
                    <w:bottom w:val="none" w:sz="0" w:space="0" w:color="auto"/>
                    <w:right w:val="none" w:sz="0" w:space="0" w:color="auto"/>
                  </w:divBdr>
                  <w:divsChild>
                    <w:div w:id="1360934094">
                      <w:marLeft w:val="0"/>
                      <w:marRight w:val="0"/>
                      <w:marTop w:val="0"/>
                      <w:marBottom w:val="0"/>
                      <w:divBdr>
                        <w:top w:val="none" w:sz="0" w:space="0" w:color="auto"/>
                        <w:left w:val="none" w:sz="0" w:space="0" w:color="auto"/>
                        <w:bottom w:val="none" w:sz="0" w:space="0" w:color="auto"/>
                        <w:right w:val="none" w:sz="0" w:space="0" w:color="auto"/>
                      </w:divBdr>
                      <w:divsChild>
                        <w:div w:id="12269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31776">
      <w:bodyDiv w:val="1"/>
      <w:marLeft w:val="0"/>
      <w:marRight w:val="0"/>
      <w:marTop w:val="0"/>
      <w:marBottom w:val="0"/>
      <w:divBdr>
        <w:top w:val="none" w:sz="0" w:space="0" w:color="auto"/>
        <w:left w:val="none" w:sz="0" w:space="0" w:color="auto"/>
        <w:bottom w:val="none" w:sz="0" w:space="0" w:color="auto"/>
        <w:right w:val="none" w:sz="0" w:space="0" w:color="auto"/>
      </w:divBdr>
    </w:div>
    <w:div w:id="1124890466">
      <w:bodyDiv w:val="1"/>
      <w:marLeft w:val="0"/>
      <w:marRight w:val="0"/>
      <w:marTop w:val="0"/>
      <w:marBottom w:val="0"/>
      <w:divBdr>
        <w:top w:val="none" w:sz="0" w:space="0" w:color="auto"/>
        <w:left w:val="none" w:sz="0" w:space="0" w:color="auto"/>
        <w:bottom w:val="none" w:sz="0" w:space="0" w:color="auto"/>
        <w:right w:val="none" w:sz="0" w:space="0" w:color="auto"/>
      </w:divBdr>
    </w:div>
    <w:div w:id="1378506152">
      <w:bodyDiv w:val="1"/>
      <w:marLeft w:val="0"/>
      <w:marRight w:val="0"/>
      <w:marTop w:val="0"/>
      <w:marBottom w:val="0"/>
      <w:divBdr>
        <w:top w:val="none" w:sz="0" w:space="0" w:color="auto"/>
        <w:left w:val="none" w:sz="0" w:space="0" w:color="auto"/>
        <w:bottom w:val="none" w:sz="0" w:space="0" w:color="auto"/>
        <w:right w:val="none" w:sz="0" w:space="0" w:color="auto"/>
      </w:divBdr>
    </w:div>
    <w:div w:id="1512526427">
      <w:bodyDiv w:val="1"/>
      <w:marLeft w:val="0"/>
      <w:marRight w:val="0"/>
      <w:marTop w:val="0"/>
      <w:marBottom w:val="0"/>
      <w:divBdr>
        <w:top w:val="none" w:sz="0" w:space="0" w:color="auto"/>
        <w:left w:val="none" w:sz="0" w:space="0" w:color="auto"/>
        <w:bottom w:val="none" w:sz="0" w:space="0" w:color="auto"/>
        <w:right w:val="none" w:sz="0" w:space="0" w:color="auto"/>
      </w:divBdr>
    </w:div>
    <w:div w:id="1839539776">
      <w:bodyDiv w:val="1"/>
      <w:marLeft w:val="0"/>
      <w:marRight w:val="0"/>
      <w:marTop w:val="0"/>
      <w:marBottom w:val="0"/>
      <w:divBdr>
        <w:top w:val="none" w:sz="0" w:space="0" w:color="auto"/>
        <w:left w:val="none" w:sz="0" w:space="0" w:color="auto"/>
        <w:bottom w:val="none" w:sz="0" w:space="0" w:color="auto"/>
        <w:right w:val="none" w:sz="0" w:space="0" w:color="auto"/>
      </w:divBdr>
    </w:div>
    <w:div w:id="20080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foodbank.org/" TargetMode="External"/><Relationship Id="rId3" Type="http://schemas.openxmlformats.org/officeDocument/2006/relationships/settings" Target="settings.xml"/><Relationship Id="rId7" Type="http://schemas.openxmlformats.org/officeDocument/2006/relationships/hyperlink" Target="https://www.peoplesfridge.org/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2.calrecycle.ca.gov/Docs/Web/1202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Adabel Pirita</dc:creator>
  <cp:keywords/>
  <dc:description/>
  <cp:lastModifiedBy>Adabel Pirita</cp:lastModifiedBy>
  <cp:revision>1</cp:revision>
  <dcterms:created xsi:type="dcterms:W3CDTF">2023-04-04T21:50:00Z</dcterms:created>
  <dcterms:modified xsi:type="dcterms:W3CDTF">2023-04-04T22:55:00Z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896b0d29-fb00-4cac-b9f2-f13e8e82d5f4</vt:lpwstr>
  </property>
</Properties>
</file>